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126365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120015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140335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COHERUS ONCOLOGY,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83185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86" w:lineRule="exact"/>
        <w:rPr>
          <w:sz w:val="24"/>
          <w:szCs w:val="24"/>
          <w:color w:val="auto"/>
        </w:rPr>
      </w:pPr>
    </w:p>
    <w:tbl>
      <w:tblPr>
        <w:tblLayout w:type="fixed"/>
        <w:tblInd w:w="800" w:type="dxa"/>
        <w:tblCellMar>
          <w:top w:w="0" w:type="dxa"/>
          <w:left w:w="0" w:type="dxa"/>
          <w:bottom w:w="0" w:type="dxa"/>
          <w:right w:w="0" w:type="dxa"/>
        </w:tblCellMar>
      </w:tblPr>
      <w:tr>
        <w:trPr>
          <w:trHeight w:val="194"/>
        </w:trPr>
        <w:tc>
          <w:tcPr>
            <w:tcW w:w="2800" w:type="dxa"/>
            <w:vAlign w:val="bottom"/>
          </w:tcPr>
          <w:p>
            <w:pPr>
              <w:jc w:val="center"/>
              <w:ind w:right="945"/>
              <w:spacing w:after="0"/>
              <w:rPr>
                <w:sz w:val="20"/>
                <w:szCs w:val="20"/>
                <w:color w:val="auto"/>
              </w:rPr>
            </w:pPr>
            <w:r>
              <w:rPr>
                <w:rFonts w:ascii="Arial" w:cs="Arial" w:eastAsia="Arial" w:hAnsi="Arial"/>
                <w:sz w:val="16"/>
                <w:szCs w:val="16"/>
                <w:b w:val="1"/>
                <w:bCs w:val="1"/>
                <w:color w:val="auto"/>
                <w:w w:val="99"/>
              </w:rPr>
              <w:t>Delaware</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9"/>
              </w:rPr>
              <w:t>001-36721</w:t>
            </w:r>
          </w:p>
        </w:tc>
        <w:tc>
          <w:tcPr>
            <w:tcW w:w="2560" w:type="dxa"/>
            <w:vAlign w:val="bottom"/>
          </w:tcPr>
          <w:p>
            <w:pPr>
              <w:jc w:val="center"/>
              <w:ind w:left="945"/>
              <w:spacing w:after="0"/>
              <w:rPr>
                <w:sz w:val="20"/>
                <w:szCs w:val="20"/>
                <w:color w:val="auto"/>
              </w:rPr>
            </w:pPr>
            <w:r>
              <w:rPr>
                <w:rFonts w:ascii="Arial" w:cs="Arial" w:eastAsia="Arial" w:hAnsi="Arial"/>
                <w:sz w:val="16"/>
                <w:szCs w:val="16"/>
                <w:b w:val="1"/>
                <w:bCs w:val="1"/>
                <w:color w:val="auto"/>
              </w:rPr>
              <w:t>27-3615821</w:t>
            </w:r>
          </w:p>
        </w:tc>
      </w:tr>
      <w:tr>
        <w:trPr>
          <w:trHeight w:val="162"/>
        </w:trPr>
        <w:tc>
          <w:tcPr>
            <w:tcW w:w="2800" w:type="dxa"/>
            <w:vAlign w:val="bottom"/>
          </w:tcPr>
          <w:p>
            <w:pPr>
              <w:jc w:val="center"/>
              <w:ind w:right="945"/>
              <w:spacing w:after="0"/>
              <w:rPr>
                <w:sz w:val="20"/>
                <w:szCs w:val="20"/>
                <w:color w:val="auto"/>
              </w:rPr>
            </w:pPr>
            <w:r>
              <w:rPr>
                <w:rFonts w:ascii="Arial" w:cs="Arial" w:eastAsia="Arial" w:hAnsi="Arial"/>
                <w:sz w:val="14"/>
                <w:szCs w:val="14"/>
                <w:b w:val="1"/>
                <w:bCs w:val="1"/>
                <w:color w:val="auto"/>
              </w:rPr>
              <w:t>(State or other jurisdiction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2560" w:type="dxa"/>
            <w:vAlign w:val="bottom"/>
          </w:tcPr>
          <w:p>
            <w:pPr>
              <w:jc w:val="center"/>
              <w:ind w:left="945"/>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2800" w:type="dxa"/>
            <w:vAlign w:val="bottom"/>
          </w:tcPr>
          <w:p>
            <w:pPr>
              <w:jc w:val="center"/>
              <w:ind w:right="945"/>
              <w:spacing w:after="0"/>
              <w:rPr>
                <w:sz w:val="20"/>
                <w:szCs w:val="20"/>
                <w:color w:val="auto"/>
              </w:rPr>
            </w:pPr>
            <w:r>
              <w:rPr>
                <w:rFonts w:ascii="Arial" w:cs="Arial" w:eastAsia="Arial" w:hAnsi="Arial"/>
                <w:sz w:val="14"/>
                <w:szCs w:val="14"/>
                <w:b w:val="1"/>
                <w:bCs w:val="1"/>
                <w:color w:val="auto"/>
              </w:rPr>
              <w:t>of incorporation)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2560" w:type="dxa"/>
            <w:vAlign w:val="bottom"/>
          </w:tcPr>
          <w:p>
            <w:pPr>
              <w:jc w:val="center"/>
              <w:ind w:left="945"/>
              <w:spacing w:after="0"/>
              <w:rPr>
                <w:sz w:val="20"/>
                <w:szCs w:val="20"/>
                <w:color w:val="auto"/>
              </w:rPr>
            </w:pPr>
            <w:r>
              <w:rPr>
                <w:rFonts w:ascii="Arial" w:cs="Arial" w:eastAsia="Arial" w:hAnsi="Arial"/>
                <w:sz w:val="14"/>
                <w:szCs w:val="14"/>
                <w:b w:val="1"/>
                <w:bCs w:val="1"/>
                <w:color w:val="auto"/>
              </w:rPr>
              <w:t>Identification Number)</w:t>
            </w:r>
          </w:p>
        </w:tc>
      </w:tr>
    </w:tbl>
    <w:p>
      <w:pPr>
        <w:spacing w:after="0" w:line="78"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333 Twin Dolphin Drive, Suite 600</w:t>
      </w:r>
    </w:p>
    <w:p>
      <w:pPr>
        <w:spacing w:after="0" w:line="14"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Redwood City, CA 94065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649-3530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48895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33" w:lineRule="exact"/>
        <w:rPr>
          <w:sz w:val="24"/>
          <w:szCs w:val="24"/>
          <w:color w:val="auto"/>
        </w:rPr>
      </w:pPr>
    </w:p>
    <w:p>
      <w:pPr>
        <w:ind w:right="66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500" w:hanging="4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520" w:firstLine="9"/>
        <w:spacing w:after="0" w:line="396" w:lineRule="auto"/>
        <w:tabs>
          <w:tab w:leader="none" w:pos="5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tcPr>
          <w:p>
            <w:pPr>
              <w:jc w:val="center"/>
              <w:ind w:right="482"/>
              <w:spacing w:after="0"/>
              <w:rPr>
                <w:sz w:val="20"/>
                <w:szCs w:val="20"/>
                <w:color w:val="auto"/>
              </w:rPr>
            </w:pPr>
            <w:r>
              <w:rPr>
                <w:rFonts w:ascii="Arial" w:cs="Arial" w:eastAsia="Arial" w:hAnsi="Arial"/>
                <w:sz w:val="14"/>
                <w:szCs w:val="14"/>
                <w:b w:val="1"/>
                <w:bCs w:val="1"/>
                <w:color w:val="auto"/>
              </w:rPr>
              <w:t>Trading</w:t>
            </w:r>
          </w:p>
        </w:tc>
        <w:tc>
          <w:tcPr>
            <w:tcW w:w="2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2320" w:type="dxa"/>
            <w:vAlign w:val="bottom"/>
          </w:tcPr>
          <w:p>
            <w:pPr>
              <w:jc w:val="center"/>
              <w:ind w:right="462"/>
              <w:spacing w:after="0"/>
              <w:rPr>
                <w:sz w:val="20"/>
                <w:szCs w:val="20"/>
                <w:color w:val="auto"/>
              </w:rPr>
            </w:pPr>
            <w:r>
              <w:rPr>
                <w:rFonts w:ascii="Arial" w:cs="Arial" w:eastAsia="Arial" w:hAnsi="Arial"/>
                <w:sz w:val="14"/>
                <w:szCs w:val="14"/>
                <w:b w:val="1"/>
                <w:bCs w:val="1"/>
                <w:color w:val="auto"/>
              </w:rPr>
              <w:t>Symbol(s)</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4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$0.0001 par value per share</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462"/>
              <w:spacing w:after="0"/>
              <w:rPr>
                <w:sz w:val="20"/>
                <w:szCs w:val="20"/>
                <w:color w:val="auto"/>
              </w:rPr>
            </w:pPr>
            <w:r>
              <w:rPr>
                <w:rFonts w:ascii="Arial" w:cs="Arial" w:eastAsia="Arial" w:hAnsi="Arial"/>
                <w:sz w:val="18"/>
                <w:szCs w:val="18"/>
                <w:b w:val="1"/>
                <w:bCs w:val="1"/>
                <w:color w:val="auto"/>
                <w:w w:val="97"/>
              </w:rPr>
              <w:t>CHRS</w:t>
            </w:r>
          </w:p>
        </w:tc>
        <w:tc>
          <w:tcPr>
            <w:tcW w:w="200" w:type="dxa"/>
            <w:vAlign w:val="bottom"/>
          </w:tcPr>
          <w:p>
            <w:pPr>
              <w:spacing w:after="0"/>
              <w:rPr>
                <w:sz w:val="20"/>
                <w:szCs w:val="20"/>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Market</w:t>
            </w:r>
          </w:p>
        </w:tc>
      </w:tr>
    </w:tbl>
    <w:p>
      <w:pPr>
        <w:spacing w:after="0" w:line="58" w:lineRule="exact"/>
        <w:rPr>
          <w:sz w:val="24"/>
          <w:szCs w:val="24"/>
          <w:color w:val="auto"/>
        </w:rPr>
      </w:pPr>
    </w:p>
    <w:p>
      <w:pPr>
        <w:ind w:right="20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59690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93980</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92" w:right="99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97"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Coherus Oncology, Inc. (the “Company”) held its 2026 Annual Meeting of Stockholders (the “Annual Meeting”) on May 27, 2026 virtually via the Internet. The Annual Meeting on May 27, 2026 was partially adjourned to Friday, May 29, 2026 solely with respect to the voting on Proposal 4. At the close of business on April 16, 2026, the record date, there were 154,217,609 shares of the Company’s common stock outstanding with each such share being entitled to one vote per share.</w:t>
      </w:r>
    </w:p>
    <w:p>
      <w:pPr>
        <w:spacing w:after="0" w:line="163" w:lineRule="exact"/>
        <w:rPr>
          <w:sz w:val="20"/>
          <w:szCs w:val="20"/>
          <w:color w:val="auto"/>
        </w:rPr>
      </w:pPr>
    </w:p>
    <w:p>
      <w:pPr>
        <w:ind w:left="60" w:right="299"/>
        <w:spacing w:after="0"/>
        <w:rPr>
          <w:sz w:val="20"/>
          <w:szCs w:val="20"/>
          <w:color w:val="auto"/>
        </w:rPr>
      </w:pPr>
      <w:r>
        <w:rPr>
          <w:rFonts w:ascii="Arial" w:cs="Arial" w:eastAsia="Arial" w:hAnsi="Arial"/>
          <w:sz w:val="18"/>
          <w:szCs w:val="18"/>
          <w:color w:val="auto"/>
        </w:rPr>
        <w:t>As summarized in the tables below, at the Annual Meeting on May 27, 2026, common stock of the Company totaling 124,566,041 shares were voted in person or by proxy for proposals 1, 2, 3 and 5. On May 29, 2026, common stock of the Company totaling 91,750,055 shares were voted in person or by proxy for proposal 4, a “non-routine” matter which resulted in broker non-votes present on May 27, 2026 no longer being included or represented in the vote totals. The Company’s Definitive Proxy Statement on Schedule 14A, and the Supplement to the Proxy Statement, filed with the U.S. Securities and Exchange Commission respectively on April 20, 2026 and May 28, 2026 describe each proposal, the quorum requirements and the vote counting procedures.</w:t>
      </w:r>
    </w:p>
    <w:p>
      <w:pPr>
        <w:spacing w:after="0" w:line="167"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results of the voting held on May 27, 2026 for Proposals 1, 2, 3 and 5, and on May 29, 2026 for Proposal 4, are as follows:</w:t>
      </w:r>
    </w:p>
    <w:p>
      <w:pPr>
        <w:spacing w:after="0" w:line="140"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by a majority of votes cast each of the Class III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nominees below, Dennis M. Lanfear and Mats L. Wahlström, to the Board of Directors of the Company to hold office until the 2029 annual meeting of stockholders or until their successors are elected.</w:t>
      </w:r>
    </w:p>
    <w:p>
      <w:pPr>
        <w:spacing w:after="0" w:line="181" w:lineRule="exact"/>
        <w:rPr>
          <w:sz w:val="20"/>
          <w:szCs w:val="20"/>
          <w:color w:val="auto"/>
        </w:rPr>
      </w:pPr>
    </w:p>
    <w:tbl>
      <w:tblPr>
        <w:tblLayout w:type="fixed"/>
        <w:tblInd w:w="50" w:type="dxa"/>
        <w:tblCellMar>
          <w:top w:w="0" w:type="dxa"/>
          <w:left w:w="0" w:type="dxa"/>
          <w:bottom w:w="0" w:type="dxa"/>
          <w:right w:w="0" w:type="dxa"/>
        </w:tblCellMar>
      </w:tblPr>
      <w:tr>
        <w:trPr>
          <w:trHeight w:val="284"/>
        </w:trPr>
        <w:tc>
          <w:tcPr>
            <w:tcW w:w="1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NOMINEE</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WITHHELD</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196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Dennis M. Lanfear</w:t>
            </w:r>
          </w:p>
        </w:tc>
        <w:tc>
          <w:tcPr>
            <w:tcW w:w="2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82,524,713</w:t>
            </w:r>
          </w:p>
        </w:tc>
        <w:tc>
          <w:tcPr>
            <w:tcW w:w="2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6,482,243</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30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35,559,085</w:t>
            </w:r>
          </w:p>
        </w:tc>
      </w:tr>
      <w:tr>
        <w:trPr>
          <w:trHeight w:val="223"/>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Mats L. Wahlström</w:t>
            </w:r>
          </w:p>
        </w:tc>
        <w:tc>
          <w:tcPr>
            <w:tcW w:w="20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81,177,717</w:t>
            </w:r>
          </w:p>
        </w:tc>
        <w:tc>
          <w:tcPr>
            <w:tcW w:w="2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7,829,239</w:t>
            </w:r>
          </w:p>
        </w:tc>
        <w:tc>
          <w:tcPr>
            <w:tcW w:w="240" w:type="dxa"/>
            <w:vAlign w:val="bottom"/>
            <w:tcBorders>
              <w:bottom w:val="single" w:sz="8" w:color="auto"/>
              <w:right w:val="single" w:sz="8" w:color="auto"/>
            </w:tcBorders>
          </w:tcPr>
          <w:p>
            <w:pPr>
              <w:spacing w:after="0"/>
              <w:rPr>
                <w:sz w:val="19"/>
                <w:szCs w:val="19"/>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35,559,085</w:t>
            </w:r>
          </w:p>
        </w:tc>
      </w:tr>
    </w:tbl>
    <w:p>
      <w:pPr>
        <w:spacing w:after="0" w:line="184" w:lineRule="exact"/>
        <w:rPr>
          <w:sz w:val="20"/>
          <w:szCs w:val="20"/>
          <w:color w:val="auto"/>
        </w:rPr>
      </w:pPr>
    </w:p>
    <w:p>
      <w:pPr>
        <w:ind w:left="60" w:right="639"/>
        <w:spacing w:after="0" w:line="301" w:lineRule="auto"/>
        <w:rPr>
          <w:sz w:val="20"/>
          <w:szCs w:val="20"/>
          <w:color w:val="auto"/>
        </w:rPr>
      </w:pPr>
      <w:r>
        <w:rPr>
          <w:rFonts w:ascii="Arial" w:cs="Arial" w:eastAsia="Arial" w:hAnsi="Arial"/>
          <w:sz w:val="17"/>
          <w:szCs w:val="17"/>
          <w:b w:val="1"/>
          <w:bCs w:val="1"/>
          <w:color w:val="auto"/>
        </w:rPr>
        <w:t xml:space="preserve">Proposal 2. </w:t>
      </w:r>
      <w:r>
        <w:rPr>
          <w:rFonts w:ascii="Arial" w:cs="Arial" w:eastAsia="Arial" w:hAnsi="Arial"/>
          <w:sz w:val="17"/>
          <w:szCs w:val="17"/>
          <w:color w:val="auto"/>
        </w:rPr>
        <w:t>The Company’s stockholders ratified the selection of Ernst &amp; Young LLP as 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of the Company for its fiscal year ending December 31, 2026.</w:t>
      </w:r>
    </w:p>
    <w:p>
      <w:pPr>
        <w:spacing w:after="0" w:line="143" w:lineRule="exact"/>
        <w:rPr>
          <w:sz w:val="20"/>
          <w:szCs w:val="20"/>
          <w:color w:val="auto"/>
        </w:rPr>
      </w:pPr>
    </w:p>
    <w:tbl>
      <w:tblPr>
        <w:tblLayout w:type="fixed"/>
        <w:tblInd w:w="50" w:type="dxa"/>
        <w:tblCellMar>
          <w:top w:w="0" w:type="dxa"/>
          <w:left w:w="0" w:type="dxa"/>
          <w:bottom w:w="0" w:type="dxa"/>
          <w:right w:w="0" w:type="dxa"/>
        </w:tblCellMar>
      </w:tblPr>
      <w:tr>
        <w:trPr>
          <w:trHeight w:val="284"/>
        </w:trPr>
        <w:tc>
          <w:tcPr>
            <w:tcW w:w="1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AGAINST</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ABSTAIN</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1960" w:type="dxa"/>
            <w:vAlign w:val="bottom"/>
            <w:tcBorders>
              <w:left w:val="single" w:sz="8" w:color="auto"/>
              <w:bottom w:val="single" w:sz="8" w:color="auto"/>
              <w:right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121,137,511</w:t>
            </w:r>
          </w:p>
        </w:tc>
        <w:tc>
          <w:tcPr>
            <w:tcW w:w="2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1,481,497</w:t>
            </w:r>
          </w:p>
        </w:tc>
        <w:tc>
          <w:tcPr>
            <w:tcW w:w="2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1,947,033</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3040" w:type="dxa"/>
            <w:vAlign w:val="bottom"/>
            <w:tcBorders>
              <w:bottom w:val="single" w:sz="8" w:color="auto"/>
              <w:right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rPr>
              <w:t>0</w:t>
            </w:r>
          </w:p>
        </w:tc>
      </w:tr>
    </w:tbl>
    <w:p>
      <w:pPr>
        <w:spacing w:after="0" w:line="184" w:lineRule="exact"/>
        <w:rPr>
          <w:sz w:val="20"/>
          <w:szCs w:val="20"/>
          <w:color w:val="auto"/>
        </w:rPr>
      </w:pPr>
    </w:p>
    <w:p>
      <w:pPr>
        <w:ind w:left="60" w:right="899"/>
        <w:spacing w:after="0" w:line="271" w:lineRule="auto"/>
        <w:rPr>
          <w:sz w:val="20"/>
          <w:szCs w:val="20"/>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The Company’s stockholders approved a non -binding, advisory resolution to approve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the Company’s named executive officers (a “Say-on-Pay” vote).</w:t>
      </w:r>
    </w:p>
    <w:p>
      <w:pPr>
        <w:spacing w:after="0" w:line="166" w:lineRule="exact"/>
        <w:rPr>
          <w:sz w:val="20"/>
          <w:szCs w:val="20"/>
          <w:color w:val="auto"/>
        </w:rPr>
      </w:pPr>
    </w:p>
    <w:tbl>
      <w:tblPr>
        <w:tblLayout w:type="fixed"/>
        <w:tblInd w:w="50" w:type="dxa"/>
        <w:tblCellMar>
          <w:top w:w="0" w:type="dxa"/>
          <w:left w:w="0" w:type="dxa"/>
          <w:bottom w:w="0" w:type="dxa"/>
          <w:right w:w="0" w:type="dxa"/>
        </w:tblCellMar>
      </w:tblPr>
      <w:tr>
        <w:trPr>
          <w:trHeight w:val="283"/>
        </w:trPr>
        <w:tc>
          <w:tcPr>
            <w:tcW w:w="1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ABSTAIN</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1960" w:type="dxa"/>
            <w:vAlign w:val="bottom"/>
            <w:tcBorders>
              <w:left w:val="single" w:sz="8" w:color="auto"/>
              <w:bottom w:val="single" w:sz="8" w:color="auto"/>
              <w:right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73,322,772</w:t>
            </w:r>
          </w:p>
        </w:tc>
        <w:tc>
          <w:tcPr>
            <w:tcW w:w="2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10,862,168</w:t>
            </w:r>
          </w:p>
        </w:tc>
        <w:tc>
          <w:tcPr>
            <w:tcW w:w="2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4,822,016</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3040" w:type="dxa"/>
            <w:vAlign w:val="bottom"/>
            <w:tcBorders>
              <w:bottom w:val="single" w:sz="8" w:color="auto"/>
              <w:right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35,559,085</w:t>
            </w:r>
          </w:p>
        </w:tc>
      </w:tr>
    </w:tbl>
    <w:p>
      <w:pPr>
        <w:spacing w:after="0" w:line="184"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The Company’s stockholders approved the reduction in the exercise price of certain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options.</w:t>
      </w:r>
    </w:p>
    <w:p>
      <w:pPr>
        <w:spacing w:after="0" w:line="166" w:lineRule="exact"/>
        <w:rPr>
          <w:sz w:val="20"/>
          <w:szCs w:val="20"/>
          <w:color w:val="auto"/>
        </w:rPr>
      </w:pPr>
    </w:p>
    <w:tbl>
      <w:tblPr>
        <w:tblLayout w:type="fixed"/>
        <w:tblInd w:w="50" w:type="dxa"/>
        <w:tblCellMar>
          <w:top w:w="0" w:type="dxa"/>
          <w:left w:w="0" w:type="dxa"/>
          <w:bottom w:w="0" w:type="dxa"/>
          <w:right w:w="0" w:type="dxa"/>
        </w:tblCellMar>
      </w:tblPr>
      <w:tr>
        <w:trPr>
          <w:trHeight w:val="284"/>
        </w:trPr>
        <w:tc>
          <w:tcPr>
            <w:tcW w:w="1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ABSTAIN</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23"/>
        </w:trPr>
        <w:tc>
          <w:tcPr>
            <w:tcW w:w="1960" w:type="dxa"/>
            <w:vAlign w:val="bottom"/>
            <w:tcBorders>
              <w:left w:val="single" w:sz="8" w:color="auto"/>
              <w:bottom w:val="single" w:sz="8" w:color="auto"/>
              <w:right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45,996,610</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1740" w:type="dxa"/>
            <w:vAlign w:val="bottom"/>
            <w:tcBorders>
              <w:bottom w:val="single" w:sz="8" w:color="auto"/>
              <w:right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45,362,110</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1400" w:type="dxa"/>
            <w:vAlign w:val="bottom"/>
            <w:tcBorders>
              <w:bottom w:val="single" w:sz="8" w:color="auto"/>
              <w:right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391,335</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3040" w:type="dxa"/>
            <w:vAlign w:val="bottom"/>
            <w:tcBorders>
              <w:bottom w:val="single" w:sz="8" w:color="auto"/>
              <w:right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rPr>
              <w:t>0</w:t>
            </w:r>
          </w:p>
        </w:tc>
      </w:tr>
    </w:tbl>
    <w:p>
      <w:pPr>
        <w:spacing w:after="0" w:line="184" w:lineRule="exact"/>
        <w:rPr>
          <w:sz w:val="20"/>
          <w:szCs w:val="20"/>
          <w:color w:val="auto"/>
        </w:rPr>
      </w:pPr>
    </w:p>
    <w:p>
      <w:pPr>
        <w:ind w:left="60" w:right="459" w:firstLine="50"/>
        <w:spacing w:after="0" w:line="271" w:lineRule="auto"/>
        <w:rPr>
          <w:sz w:val="20"/>
          <w:szCs w:val="20"/>
          <w:color w:val="auto"/>
        </w:rPr>
      </w:pPr>
      <w:r>
        <w:rPr>
          <w:rFonts w:ascii="Arial" w:cs="Arial" w:eastAsia="Arial" w:hAnsi="Arial"/>
          <w:sz w:val="18"/>
          <w:szCs w:val="18"/>
          <w:b w:val="1"/>
          <w:bCs w:val="1"/>
          <w:color w:val="auto"/>
        </w:rPr>
        <w:t xml:space="preserve">Proposal 5. </w:t>
      </w:r>
      <w:r>
        <w:rPr>
          <w:rFonts w:ascii="Arial" w:cs="Arial" w:eastAsia="Arial" w:hAnsi="Arial"/>
          <w:sz w:val="18"/>
          <w:szCs w:val="18"/>
          <w:color w:val="auto"/>
        </w:rPr>
        <w:t>The Company’s stockholders approved an increase in the number of shares of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reserved for issuance under the Amended and Restated 2014 Equity Incentive Award Plan.</w:t>
      </w:r>
    </w:p>
    <w:p>
      <w:pPr>
        <w:spacing w:after="0" w:line="166" w:lineRule="exact"/>
        <w:rPr>
          <w:sz w:val="20"/>
          <w:szCs w:val="20"/>
          <w:color w:val="auto"/>
        </w:rPr>
      </w:pPr>
    </w:p>
    <w:tbl>
      <w:tblPr>
        <w:tblLayout w:type="fixed"/>
        <w:tblInd w:w="50" w:type="dxa"/>
        <w:tblCellMar>
          <w:top w:w="0" w:type="dxa"/>
          <w:left w:w="0" w:type="dxa"/>
          <w:bottom w:w="0" w:type="dxa"/>
          <w:right w:w="0" w:type="dxa"/>
        </w:tblCellMar>
      </w:tblPr>
      <w:tr>
        <w:trPr>
          <w:trHeight w:val="283"/>
        </w:trPr>
        <w:tc>
          <w:tcPr>
            <w:tcW w:w="1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FOR</w:t>
            </w:r>
          </w:p>
        </w:tc>
        <w:tc>
          <w:tcPr>
            <w:tcW w:w="200" w:type="dxa"/>
            <w:vAlign w:val="bottom"/>
            <w:tcBorders>
              <w:top w:val="single" w:sz="8" w:color="auto"/>
              <w:bottom w:val="single" w:sz="8" w:color="auto"/>
              <w:right w:val="single" w:sz="8" w:color="auto"/>
            </w:tcBorders>
          </w:tcPr>
          <w:p>
            <w:pPr>
              <w:spacing w:after="0"/>
              <w:rPr>
                <w:sz w:val="24"/>
                <w:szCs w:val="24"/>
                <w:color w:val="auto"/>
              </w:rPr>
            </w:pPr>
          </w:p>
        </w:tc>
        <w:tc>
          <w:tcPr>
            <w:tcW w:w="1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AGAINST</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b w:val="1"/>
                <w:bCs w:val="1"/>
                <w:color w:val="auto"/>
              </w:rPr>
              <w:t>ABSTAIN</w:t>
            </w:r>
          </w:p>
        </w:tc>
        <w:tc>
          <w:tcPr>
            <w:tcW w:w="240" w:type="dxa"/>
            <w:vAlign w:val="bottom"/>
            <w:tcBorders>
              <w:top w:val="single" w:sz="8" w:color="auto"/>
              <w:bottom w:val="single" w:sz="8" w:color="auto"/>
              <w:right w:val="single" w:sz="8" w:color="auto"/>
            </w:tcBorders>
          </w:tcPr>
          <w:p>
            <w:pPr>
              <w:spacing w:after="0"/>
              <w:rPr>
                <w:sz w:val="24"/>
                <w:szCs w:val="24"/>
                <w:color w:val="auto"/>
              </w:rPr>
            </w:pPr>
          </w:p>
        </w:tc>
        <w:tc>
          <w:tcPr>
            <w:tcW w:w="3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c>
          <w:tcPr>
            <w:tcW w:w="100" w:type="dxa"/>
            <w:vAlign w:val="bottom"/>
          </w:tcPr>
          <w:p>
            <w:pPr>
              <w:spacing w:after="0"/>
              <w:rPr>
                <w:sz w:val="24"/>
                <w:szCs w:val="24"/>
                <w:color w:val="auto"/>
              </w:rPr>
            </w:pPr>
          </w:p>
        </w:tc>
      </w:tr>
      <w:tr>
        <w:trPr>
          <w:trHeight w:val="223"/>
        </w:trPr>
        <w:tc>
          <w:tcPr>
            <w:tcW w:w="1960" w:type="dxa"/>
            <w:vAlign w:val="bottom"/>
            <w:tcBorders>
              <w:left w:val="single" w:sz="8" w:color="auto"/>
              <w:bottom w:val="single" w:sz="8" w:color="auto"/>
              <w:right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59,507,788</w:t>
            </w:r>
          </w:p>
        </w:tc>
        <w:tc>
          <w:tcPr>
            <w:tcW w:w="200" w:type="dxa"/>
            <w:vAlign w:val="bottom"/>
            <w:tcBorders>
              <w:bottom w:val="single" w:sz="8" w:color="auto"/>
              <w:righ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24,853,379</w:t>
            </w:r>
          </w:p>
        </w:tc>
        <w:tc>
          <w:tcPr>
            <w:tcW w:w="24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4,645,789</w:t>
            </w:r>
          </w:p>
        </w:tc>
        <w:tc>
          <w:tcPr>
            <w:tcW w:w="240" w:type="dxa"/>
            <w:vAlign w:val="bottom"/>
            <w:tcBorders>
              <w:bottom w:val="single" w:sz="8" w:color="auto"/>
              <w:right w:val="single" w:sz="8" w:color="auto"/>
            </w:tcBorders>
            <w:shd w:val="clear" w:color="auto" w:fill="CCEEFF"/>
          </w:tcPr>
          <w:p>
            <w:pPr>
              <w:spacing w:after="0"/>
              <w:rPr>
                <w:sz w:val="19"/>
                <w:szCs w:val="19"/>
                <w:color w:val="auto"/>
              </w:rPr>
            </w:pPr>
          </w:p>
        </w:tc>
        <w:tc>
          <w:tcPr>
            <w:tcW w:w="3040" w:type="dxa"/>
            <w:vAlign w:val="bottom"/>
            <w:tcBorders>
              <w:bottom w:val="single" w:sz="8" w:color="auto"/>
              <w:right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35,559,085</w:t>
            </w:r>
          </w:p>
        </w:tc>
        <w:tc>
          <w:tcPr>
            <w:tcW w:w="100" w:type="dxa"/>
            <w:vAlign w:val="bottom"/>
          </w:tcPr>
          <w:p>
            <w:pPr>
              <w:spacing w:after="0"/>
              <w:rPr>
                <w:sz w:val="19"/>
                <w:szCs w:val="19"/>
                <w:color w:val="auto"/>
              </w:rPr>
            </w:pPr>
          </w:p>
        </w:tc>
      </w:tr>
      <w:tr>
        <w:trPr>
          <w:trHeight w:val="554"/>
        </w:trPr>
        <w:tc>
          <w:tcPr>
            <w:tcW w:w="1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2260" w:type="dxa"/>
            <w:vAlign w:val="bottom"/>
          </w:tcPr>
          <w:p>
            <w:pPr>
              <w:ind w:left="154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7"/>
                <w:szCs w:val="17"/>
                <w:color w:val="auto"/>
              </w:rPr>
            </w:pPr>
          </w:p>
        </w:tc>
      </w:tr>
      <w:tr>
        <w:trPr>
          <w:trHeight w:val="239"/>
        </w:trPr>
        <w:tc>
          <w:tcPr>
            <w:tcW w:w="3040" w:type="dxa"/>
            <w:vAlign w:val="bottom"/>
          </w:tcPr>
          <w:p>
            <w:pPr>
              <w:ind w:left="20"/>
              <w:spacing w:after="0"/>
              <w:rPr>
                <w:sz w:val="20"/>
                <w:szCs w:val="20"/>
                <w:color w:val="auto"/>
              </w:rPr>
            </w:pPr>
            <w:r>
              <w:rPr>
                <w:rFonts w:ascii="Arial" w:cs="Arial" w:eastAsia="Arial" w:hAnsi="Arial"/>
                <w:sz w:val="18"/>
                <w:szCs w:val="18"/>
                <w:color w:val="auto"/>
              </w:rPr>
              <w:t>Date: June 1, 2026</w:t>
            </w:r>
          </w:p>
        </w:tc>
        <w:tc>
          <w:tcPr>
            <w:tcW w:w="5880" w:type="dxa"/>
            <w:vAlign w:val="bottom"/>
            <w:gridSpan w:val="2"/>
          </w:tcPr>
          <w:p>
            <w:pPr>
              <w:ind w:left="1500"/>
              <w:spacing w:after="0"/>
              <w:rPr>
                <w:sz w:val="20"/>
                <w:szCs w:val="20"/>
                <w:color w:val="auto"/>
              </w:rPr>
            </w:pPr>
            <w:r>
              <w:rPr>
                <w:rFonts w:ascii="Arial" w:cs="Arial" w:eastAsia="Arial" w:hAnsi="Arial"/>
                <w:sz w:val="18"/>
                <w:szCs w:val="18"/>
                <w:color w:val="auto"/>
              </w:rPr>
              <w:t>​ COHERUS ONCOLOGY, INC.</w:t>
            </w:r>
          </w:p>
        </w:tc>
      </w:tr>
      <w:tr>
        <w:trPr>
          <w:trHeight w:val="388"/>
        </w:trPr>
        <w:tc>
          <w:tcPr>
            <w:tcW w:w="3040" w:type="dxa"/>
            <w:vAlign w:val="bottom"/>
          </w:tcPr>
          <w:p>
            <w:pPr>
              <w:spacing w:after="0"/>
              <w:rPr>
                <w:sz w:val="24"/>
                <w:szCs w:val="24"/>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Lanfear</w:t>
            </w:r>
          </w:p>
        </w:tc>
      </w:tr>
      <w:tr>
        <w:trPr>
          <w:trHeight w:val="177"/>
        </w:trPr>
        <w:tc>
          <w:tcPr>
            <w:tcW w:w="3040" w:type="dxa"/>
            <w:vAlign w:val="bottom"/>
          </w:tcPr>
          <w:p>
            <w:pPr>
              <w:spacing w:after="0"/>
              <w:rPr>
                <w:sz w:val="15"/>
                <w:szCs w:val="15"/>
                <w:color w:val="auto"/>
              </w:rPr>
            </w:pPr>
          </w:p>
        </w:tc>
        <w:tc>
          <w:tcPr>
            <w:tcW w:w="2260" w:type="dxa"/>
            <w:vAlign w:val="bottom"/>
          </w:tcPr>
          <w:p>
            <w:pPr>
              <w:ind w:left="1600"/>
              <w:spacing w:after="0" w:line="177" w:lineRule="exact"/>
              <w:rPr>
                <w:sz w:val="20"/>
                <w:szCs w:val="20"/>
                <w:color w:val="auto"/>
              </w:rPr>
            </w:pPr>
            <w:r>
              <w:rPr>
                <w:rFonts w:ascii="Arial" w:cs="Arial" w:eastAsia="Arial" w:hAnsi="Arial"/>
                <w:sz w:val="18"/>
                <w:szCs w:val="18"/>
                <w:color w:val="auto"/>
              </w:rPr>
              <w:t>Name:</w:t>
            </w:r>
          </w:p>
        </w:tc>
        <w:tc>
          <w:tcPr>
            <w:tcW w:w="3620" w:type="dxa"/>
            <w:vAlign w:val="bottom"/>
          </w:tcPr>
          <w:p>
            <w:pPr>
              <w:spacing w:after="0" w:line="177" w:lineRule="exact"/>
              <w:rPr>
                <w:sz w:val="20"/>
                <w:szCs w:val="20"/>
                <w:color w:val="auto"/>
              </w:rPr>
            </w:pPr>
            <w:r>
              <w:rPr>
                <w:rFonts w:ascii="Arial" w:cs="Arial" w:eastAsia="Arial" w:hAnsi="Arial"/>
                <w:sz w:val="18"/>
                <w:szCs w:val="18"/>
                <w:color w:val="auto"/>
              </w:rPr>
              <w:t>Dennis M. Lanfear</w:t>
            </w:r>
          </w:p>
        </w:tc>
      </w:tr>
      <w:tr>
        <w:trPr>
          <w:trHeight w:val="239"/>
        </w:trPr>
        <w:tc>
          <w:tcPr>
            <w:tcW w:w="3040" w:type="dxa"/>
            <w:vAlign w:val="bottom"/>
          </w:tcPr>
          <w:p>
            <w:pPr>
              <w:spacing w:after="0"/>
              <w:rPr>
                <w:sz w:val="20"/>
                <w:szCs w:val="20"/>
                <w:color w:val="auto"/>
              </w:rPr>
            </w:pPr>
          </w:p>
        </w:tc>
        <w:tc>
          <w:tcPr>
            <w:tcW w:w="2260" w:type="dxa"/>
            <w:vAlign w:val="bottom"/>
          </w:tcPr>
          <w:p>
            <w:pPr>
              <w:ind w:left="1600"/>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1164"/>
        </w:trPr>
        <w:tc>
          <w:tcPr>
            <w:tcW w:w="30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3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2026-06-01T07:33:13Z</dcterms:created>
  <dcterms:modified xsi:type="dcterms:W3CDTF">2026-06-01T07:33:13Z</dcterms:modified>
</cp:coreProperties>
</file>